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b w:val="1"/>
          <w:sz w:val="30"/>
          <w:szCs w:val="30"/>
        </w:rPr>
      </w:pPr>
      <w:r w:rsidDel="00000000" w:rsidR="00000000" w:rsidRPr="00000000">
        <w:rPr>
          <w:b w:val="1"/>
          <w:sz w:val="30"/>
          <w:szCs w:val="30"/>
          <w:rtl w:val="0"/>
        </w:rPr>
        <w:t xml:space="preserve">  INSTRUCTIONS FOR REQUESTING LETTER OF RIGHT-TO-SUE</w:t>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spacing w:after="0" w:before="0" w:line="240" w:lineRule="auto"/>
        <w:rPr>
          <w:sz w:val="28"/>
          <w:szCs w:val="28"/>
        </w:rPr>
      </w:pPr>
      <w:r w:rsidDel="00000000" w:rsidR="00000000" w:rsidRPr="00000000">
        <w:rPr>
          <w:sz w:val="28"/>
          <w:szCs w:val="28"/>
          <w:rtl w:val="0"/>
        </w:rPr>
        <w:t xml:space="preserve">You, (the Complainant) may request a letter of right-to-sue from the Commission if:</w:t>
      </w:r>
    </w:p>
    <w:p w:rsidR="00000000" w:rsidDel="00000000" w:rsidP="00000000" w:rsidRDefault="00000000" w:rsidRPr="00000000" w14:paraId="00000004">
      <w:pPr>
        <w:spacing w:after="0" w:before="0" w:line="240" w:lineRule="auto"/>
        <w:rPr>
          <w:sz w:val="28"/>
          <w:szCs w:val="28"/>
        </w:rPr>
      </w:pPr>
      <w:r w:rsidDel="00000000" w:rsidR="00000000" w:rsidRPr="00000000">
        <w:rPr>
          <w:rtl w:val="0"/>
        </w:rPr>
      </w:r>
    </w:p>
    <w:p w:rsidR="00000000" w:rsidDel="00000000" w:rsidP="00000000" w:rsidRDefault="00000000" w:rsidRPr="00000000" w14:paraId="00000005">
      <w:pPr>
        <w:spacing w:after="0" w:before="0" w:line="240" w:lineRule="auto"/>
        <w:ind w:left="360" w:firstLine="0"/>
        <w:rPr>
          <w:sz w:val="16"/>
          <w:szCs w:val="16"/>
        </w:rPr>
      </w:pPr>
      <w:r w:rsidDel="00000000" w:rsidR="00000000" w:rsidRPr="00000000">
        <w:rPr>
          <w:sz w:val="28"/>
          <w:szCs w:val="28"/>
          <w:rtl w:val="0"/>
        </w:rPr>
        <w:t xml:space="preserve">1.</w:t>
      </w:r>
      <w:r w:rsidDel="00000000" w:rsidR="00000000" w:rsidRPr="00000000">
        <w:rPr>
          <w:sz w:val="14"/>
          <w:szCs w:val="14"/>
          <w:rtl w:val="0"/>
        </w:rPr>
        <w:t xml:space="preserve">     </w:t>
      </w:r>
      <w:r w:rsidDel="00000000" w:rsidR="00000000" w:rsidRPr="00000000">
        <w:rPr>
          <w:sz w:val="28"/>
          <w:szCs w:val="28"/>
          <w:rtl w:val="0"/>
        </w:rPr>
        <w:t xml:space="preserve">The complaint was filed with the Commission within three-hundred (300) days of the alleged incident;</w:t>
      </w:r>
      <w:r w:rsidDel="00000000" w:rsidR="00000000" w:rsidRPr="00000000">
        <w:rPr>
          <w:rtl w:val="0"/>
        </w:rPr>
      </w:r>
    </w:p>
    <w:p w:rsidR="00000000" w:rsidDel="00000000" w:rsidP="00000000" w:rsidRDefault="00000000" w:rsidRPr="00000000" w14:paraId="00000006">
      <w:pPr>
        <w:spacing w:after="0" w:before="0" w:line="240" w:lineRule="auto"/>
        <w:ind w:left="360" w:firstLine="0"/>
        <w:rPr>
          <w:sz w:val="16"/>
          <w:szCs w:val="16"/>
        </w:rPr>
      </w:pPr>
      <w:r w:rsidDel="00000000" w:rsidR="00000000" w:rsidRPr="00000000">
        <w:rPr>
          <w:sz w:val="28"/>
          <w:szCs w:val="28"/>
          <w:rtl w:val="0"/>
        </w:rPr>
        <w:t xml:space="preserve">2.</w:t>
      </w:r>
      <w:r w:rsidDel="00000000" w:rsidR="00000000" w:rsidRPr="00000000">
        <w:rPr>
          <w:sz w:val="14"/>
          <w:szCs w:val="14"/>
          <w:rtl w:val="0"/>
        </w:rPr>
        <w:t xml:space="preserve">     </w:t>
      </w:r>
      <w:r w:rsidDel="00000000" w:rsidR="00000000" w:rsidRPr="00000000">
        <w:rPr>
          <w:sz w:val="28"/>
          <w:szCs w:val="28"/>
          <w:rtl w:val="0"/>
        </w:rPr>
        <w:t xml:space="preserve">Sixty (60) days have elapsed since the filing date;</w:t>
      </w:r>
      <w:r w:rsidDel="00000000" w:rsidR="00000000" w:rsidRPr="00000000">
        <w:rPr>
          <w:rtl w:val="0"/>
        </w:rPr>
      </w:r>
    </w:p>
    <w:p w:rsidR="00000000" w:rsidDel="00000000" w:rsidP="00000000" w:rsidRDefault="00000000" w:rsidRPr="00000000" w14:paraId="00000007">
      <w:pPr>
        <w:spacing w:after="0" w:before="0" w:line="240" w:lineRule="auto"/>
        <w:ind w:left="360" w:firstLine="0"/>
        <w:rPr>
          <w:sz w:val="16"/>
          <w:szCs w:val="16"/>
        </w:rPr>
      </w:pPr>
      <w:r w:rsidDel="00000000" w:rsidR="00000000" w:rsidRPr="00000000">
        <w:rPr>
          <w:sz w:val="28"/>
          <w:szCs w:val="28"/>
          <w:rtl w:val="0"/>
        </w:rPr>
        <w:t xml:space="preserve">3.</w:t>
      </w:r>
      <w:r w:rsidDel="00000000" w:rsidR="00000000" w:rsidRPr="00000000">
        <w:rPr>
          <w:sz w:val="14"/>
          <w:szCs w:val="14"/>
          <w:rtl w:val="0"/>
        </w:rPr>
        <w:t xml:space="preserve">     </w:t>
      </w:r>
      <w:r w:rsidDel="00000000" w:rsidR="00000000" w:rsidRPr="00000000">
        <w:rPr>
          <w:sz w:val="28"/>
          <w:szCs w:val="28"/>
          <w:rtl w:val="0"/>
        </w:rPr>
        <w:t xml:space="preserve">Finding of “no probable cause” has not been issued</w:t>
      </w:r>
      <w:r w:rsidDel="00000000" w:rsidR="00000000" w:rsidRPr="00000000">
        <w:rPr>
          <w:rtl w:val="0"/>
        </w:rPr>
      </w:r>
    </w:p>
    <w:p w:rsidR="00000000" w:rsidDel="00000000" w:rsidP="00000000" w:rsidRDefault="00000000" w:rsidRPr="00000000" w14:paraId="00000008">
      <w:pPr>
        <w:spacing w:after="0" w:before="0" w:line="240" w:lineRule="auto"/>
        <w:ind w:left="360" w:firstLine="0"/>
        <w:rPr>
          <w:sz w:val="16"/>
          <w:szCs w:val="16"/>
        </w:rPr>
      </w:pPr>
      <w:r w:rsidDel="00000000" w:rsidR="00000000" w:rsidRPr="00000000">
        <w:rPr>
          <w:sz w:val="28"/>
          <w:szCs w:val="28"/>
          <w:rtl w:val="0"/>
        </w:rPr>
        <w:t xml:space="preserve">4.</w:t>
      </w:r>
      <w:r w:rsidDel="00000000" w:rsidR="00000000" w:rsidRPr="00000000">
        <w:rPr>
          <w:sz w:val="14"/>
          <w:szCs w:val="14"/>
          <w:rtl w:val="0"/>
        </w:rPr>
        <w:t xml:space="preserve">     </w:t>
      </w:r>
      <w:r w:rsidDel="00000000" w:rsidR="00000000" w:rsidRPr="00000000">
        <w:rPr>
          <w:sz w:val="28"/>
          <w:szCs w:val="28"/>
          <w:rtl w:val="0"/>
        </w:rPr>
        <w:t xml:space="preserve">No conciliation agreement has been negotiated;</w:t>
      </w:r>
      <w:r w:rsidDel="00000000" w:rsidR="00000000" w:rsidRPr="00000000">
        <w:rPr>
          <w:rtl w:val="0"/>
        </w:rPr>
      </w:r>
    </w:p>
    <w:p w:rsidR="00000000" w:rsidDel="00000000" w:rsidP="00000000" w:rsidRDefault="00000000" w:rsidRPr="00000000" w14:paraId="00000009">
      <w:pPr>
        <w:spacing w:after="0" w:before="0" w:line="240" w:lineRule="auto"/>
        <w:ind w:left="360" w:firstLine="0"/>
        <w:rPr>
          <w:sz w:val="16"/>
          <w:szCs w:val="16"/>
        </w:rPr>
      </w:pPr>
      <w:r w:rsidDel="00000000" w:rsidR="00000000" w:rsidRPr="00000000">
        <w:rPr>
          <w:sz w:val="28"/>
          <w:szCs w:val="28"/>
          <w:rtl w:val="0"/>
        </w:rPr>
        <w:t xml:space="preserve">5.</w:t>
      </w:r>
      <w:r w:rsidDel="00000000" w:rsidR="00000000" w:rsidRPr="00000000">
        <w:rPr>
          <w:sz w:val="14"/>
          <w:szCs w:val="14"/>
          <w:rtl w:val="0"/>
        </w:rPr>
        <w:t xml:space="preserve">     </w:t>
      </w:r>
      <w:r w:rsidDel="00000000" w:rsidR="00000000" w:rsidRPr="00000000">
        <w:rPr>
          <w:sz w:val="28"/>
          <w:szCs w:val="28"/>
          <w:rtl w:val="0"/>
        </w:rPr>
        <w:t xml:space="preserve">Notice of hearing has not been served upon Respondent</w:t>
      </w:r>
      <w:r w:rsidDel="00000000" w:rsidR="00000000" w:rsidRPr="00000000">
        <w:rPr>
          <w:rtl w:val="0"/>
        </w:rPr>
      </w:r>
    </w:p>
    <w:p w:rsidR="00000000" w:rsidDel="00000000" w:rsidP="00000000" w:rsidRDefault="00000000" w:rsidRPr="00000000" w14:paraId="0000000A">
      <w:pPr>
        <w:spacing w:after="0" w:before="0" w:line="240" w:lineRule="auto"/>
        <w:ind w:left="360" w:firstLine="0"/>
        <w:rPr>
          <w:sz w:val="28"/>
          <w:szCs w:val="28"/>
        </w:rPr>
      </w:pPr>
      <w:r w:rsidDel="00000000" w:rsidR="00000000" w:rsidRPr="00000000">
        <w:rPr>
          <w:sz w:val="28"/>
          <w:szCs w:val="28"/>
          <w:rtl w:val="0"/>
        </w:rPr>
        <w:t xml:space="preserve">6.</w:t>
      </w:r>
      <w:r w:rsidDel="00000000" w:rsidR="00000000" w:rsidRPr="00000000">
        <w:rPr>
          <w:sz w:val="14"/>
          <w:szCs w:val="14"/>
          <w:rtl w:val="0"/>
        </w:rPr>
        <w:t xml:space="preserve">     </w:t>
      </w:r>
      <w:r w:rsidDel="00000000" w:rsidR="00000000" w:rsidRPr="00000000">
        <w:rPr>
          <w:sz w:val="28"/>
          <w:szCs w:val="28"/>
          <w:rtl w:val="0"/>
        </w:rPr>
        <w:t xml:space="preserve">If the case was administratively closed, two years have not elapsed.</w:t>
      </w:r>
    </w:p>
    <w:p w:rsidR="00000000" w:rsidDel="00000000" w:rsidP="00000000" w:rsidRDefault="00000000" w:rsidRPr="00000000" w14:paraId="0000000B">
      <w:pPr>
        <w:spacing w:after="0" w:before="0" w:line="240" w:lineRule="auto"/>
        <w:ind w:left="360" w:firstLine="0"/>
        <w:rPr>
          <w:sz w:val="28"/>
          <w:szCs w:val="28"/>
        </w:rPr>
      </w:pPr>
      <w:r w:rsidDel="00000000" w:rsidR="00000000" w:rsidRPr="00000000">
        <w:rPr>
          <w:rtl w:val="0"/>
        </w:rPr>
      </w:r>
    </w:p>
    <w:p w:rsidR="00000000" w:rsidDel="00000000" w:rsidP="00000000" w:rsidRDefault="00000000" w:rsidRPr="00000000" w14:paraId="0000000C">
      <w:pPr>
        <w:spacing w:after="0" w:before="0" w:line="240" w:lineRule="auto"/>
        <w:rPr>
          <w:sz w:val="28"/>
          <w:szCs w:val="28"/>
        </w:rPr>
      </w:pPr>
      <w:r w:rsidDel="00000000" w:rsidR="00000000" w:rsidRPr="00000000">
        <w:rPr>
          <w:sz w:val="28"/>
          <w:szCs w:val="28"/>
          <w:rtl w:val="0"/>
        </w:rPr>
        <w:t xml:space="preserve">If the above conditions are met, you have a right to file a lawsuit in state district court within ninety (90) days of the issue date of the letter of right-to-sue.</w:t>
      </w:r>
    </w:p>
    <w:p w:rsidR="00000000" w:rsidDel="00000000" w:rsidP="00000000" w:rsidRDefault="00000000" w:rsidRPr="00000000" w14:paraId="0000000D">
      <w:pPr>
        <w:spacing w:after="0" w:before="0" w:line="240" w:lineRule="auto"/>
        <w:rPr>
          <w:sz w:val="28"/>
          <w:szCs w:val="28"/>
        </w:rPr>
      </w:pPr>
      <w:r w:rsidDel="00000000" w:rsidR="00000000" w:rsidRPr="00000000">
        <w:rPr>
          <w:rtl w:val="0"/>
        </w:rPr>
      </w:r>
    </w:p>
    <w:p w:rsidR="00000000" w:rsidDel="00000000" w:rsidP="00000000" w:rsidRDefault="00000000" w:rsidRPr="00000000" w14:paraId="0000000E">
      <w:pPr>
        <w:spacing w:after="0" w:before="0" w:line="240" w:lineRule="auto"/>
        <w:rPr>
          <w:sz w:val="28"/>
          <w:szCs w:val="28"/>
        </w:rPr>
      </w:pPr>
      <w:r w:rsidDel="00000000" w:rsidR="00000000" w:rsidRPr="00000000">
        <w:rPr>
          <w:sz w:val="28"/>
          <w:szCs w:val="28"/>
          <w:rtl w:val="0"/>
        </w:rPr>
        <w:t xml:space="preserve">You will have to provide your own attorney or other representative in pursuing this matter. The Iowa Bar Association may be able to refer you to an attorney who practices this type of law. The Bar Association can be located online at </w:t>
      </w:r>
      <w:r w:rsidDel="00000000" w:rsidR="00000000" w:rsidRPr="00000000">
        <w:rPr>
          <w:sz w:val="28"/>
          <w:szCs w:val="28"/>
          <w:rtl w:val="0"/>
        </w:rPr>
        <w:t xml:space="preserve">www.iabar.net</w:t>
      </w:r>
      <w:r w:rsidDel="00000000" w:rsidR="00000000" w:rsidRPr="00000000">
        <w:rPr>
          <w:sz w:val="28"/>
          <w:szCs w:val="28"/>
          <w:rtl w:val="0"/>
        </w:rPr>
        <w:t xml:space="preserve">.</w:t>
      </w:r>
    </w:p>
    <w:p w:rsidR="00000000" w:rsidDel="00000000" w:rsidP="00000000" w:rsidRDefault="00000000" w:rsidRPr="00000000" w14:paraId="0000000F">
      <w:pPr>
        <w:spacing w:after="0" w:before="0" w:line="240" w:lineRule="auto"/>
        <w:rPr>
          <w:sz w:val="28"/>
          <w:szCs w:val="28"/>
        </w:rPr>
      </w:pPr>
      <w:r w:rsidDel="00000000" w:rsidR="00000000" w:rsidRPr="00000000">
        <w:rPr>
          <w:rtl w:val="0"/>
        </w:rPr>
      </w:r>
    </w:p>
    <w:p w:rsidR="00000000" w:rsidDel="00000000" w:rsidP="00000000" w:rsidRDefault="00000000" w:rsidRPr="00000000" w14:paraId="00000010">
      <w:pPr>
        <w:spacing w:after="0" w:before="0" w:line="240" w:lineRule="auto"/>
        <w:rPr>
          <w:sz w:val="28"/>
          <w:szCs w:val="28"/>
        </w:rPr>
      </w:pPr>
      <w:r w:rsidDel="00000000" w:rsidR="00000000" w:rsidRPr="00000000">
        <w:rPr>
          <w:sz w:val="28"/>
          <w:szCs w:val="28"/>
          <w:rtl w:val="0"/>
        </w:rPr>
        <w:t xml:space="preserve">When the Commission issues a right-to-sue letter, the Commission will take no further action, and it will administratively close your case. There is no opportunity for you to reopen your case after a right-to-sue is issued by the Commission.</w:t>
      </w:r>
    </w:p>
    <w:p w:rsidR="00000000" w:rsidDel="00000000" w:rsidP="00000000" w:rsidRDefault="00000000" w:rsidRPr="00000000" w14:paraId="00000011">
      <w:pPr>
        <w:spacing w:after="0" w:before="0" w:line="240" w:lineRule="auto"/>
        <w:rPr>
          <w:sz w:val="28"/>
          <w:szCs w:val="28"/>
        </w:rPr>
      </w:pPr>
      <w:r w:rsidDel="00000000" w:rsidR="00000000" w:rsidRPr="00000000">
        <w:rPr>
          <w:rtl w:val="0"/>
        </w:rPr>
      </w:r>
    </w:p>
    <w:p w:rsidR="00000000" w:rsidDel="00000000" w:rsidP="00000000" w:rsidRDefault="00000000" w:rsidRPr="00000000" w14:paraId="00000012">
      <w:pPr>
        <w:spacing w:after="0" w:before="0" w:line="240" w:lineRule="auto"/>
        <w:rPr>
          <w:sz w:val="28"/>
          <w:szCs w:val="28"/>
        </w:rPr>
      </w:pPr>
      <w:r w:rsidDel="00000000" w:rsidR="00000000" w:rsidRPr="00000000">
        <w:rPr>
          <w:sz w:val="28"/>
          <w:szCs w:val="28"/>
          <w:rtl w:val="0"/>
        </w:rPr>
        <w:t xml:space="preserve">All requests for letters of right-to-sue must be in writing, dated, and have the CP# and EEOC# (if applicable) on the request. If legal counsel represents you, please indicate the name and address on the bottom of your request so a copy of your right-to-sue may be forwarded.</w:t>
      </w:r>
    </w:p>
    <w:p w:rsidR="00000000" w:rsidDel="00000000" w:rsidP="00000000" w:rsidRDefault="00000000" w:rsidRPr="00000000" w14:paraId="00000013">
      <w:pPr>
        <w:spacing w:after="240" w:befor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14">
      <w:pPr>
        <w:spacing w:after="120" w:before="0" w:line="240" w:lineRule="auto"/>
        <w:rPr>
          <w:sz w:val="28"/>
          <w:szCs w:val="28"/>
        </w:rPr>
      </w:pPr>
      <w:r w:rsidDel="00000000" w:rsidR="00000000" w:rsidRPr="00000000">
        <w:rPr>
          <w:sz w:val="28"/>
          <w:szCs w:val="28"/>
          <w:rtl w:val="0"/>
        </w:rPr>
        <w:t xml:space="preserve">Request should be mailed, faxed, or emailed to:</w:t>
      </w:r>
    </w:p>
    <w:p w:rsidR="00000000" w:rsidDel="00000000" w:rsidP="00000000" w:rsidRDefault="00000000" w:rsidRPr="00000000" w14:paraId="00000015">
      <w:pPr>
        <w:spacing w:after="0" w:before="0" w:line="240" w:lineRule="auto"/>
        <w:rPr>
          <w:sz w:val="28"/>
          <w:szCs w:val="28"/>
        </w:rPr>
      </w:pPr>
      <w:r w:rsidDel="00000000" w:rsidR="00000000" w:rsidRPr="00000000">
        <w:rPr>
          <w:sz w:val="28"/>
          <w:szCs w:val="28"/>
          <w:rtl w:val="0"/>
        </w:rPr>
        <w:t xml:space="preserve">Iowa Office of Civil Rights</w:t>
      </w:r>
    </w:p>
    <w:p w:rsidR="00000000" w:rsidDel="00000000" w:rsidP="00000000" w:rsidRDefault="00000000" w:rsidRPr="00000000" w14:paraId="00000016">
      <w:pPr>
        <w:spacing w:after="0" w:before="0" w:line="240" w:lineRule="auto"/>
        <w:rPr>
          <w:sz w:val="28"/>
          <w:szCs w:val="28"/>
        </w:rPr>
      </w:pPr>
      <w:r w:rsidDel="00000000" w:rsidR="00000000" w:rsidRPr="00000000">
        <w:rPr>
          <w:rtl w:val="0"/>
        </w:rPr>
      </w:r>
    </w:p>
    <w:p w:rsidR="00000000" w:rsidDel="00000000" w:rsidP="00000000" w:rsidRDefault="00000000" w:rsidRPr="00000000" w14:paraId="00000017">
      <w:pPr>
        <w:spacing w:after="0" w:before="0" w:line="240" w:lineRule="auto"/>
        <w:rPr>
          <w:sz w:val="28"/>
          <w:szCs w:val="28"/>
        </w:rPr>
      </w:pPr>
      <w:r w:rsidDel="00000000" w:rsidR="00000000" w:rsidRPr="00000000">
        <w:rPr>
          <w:rtl w:val="0"/>
        </w:rPr>
      </w:r>
    </w:p>
    <w:p w:rsidR="00000000" w:rsidDel="00000000" w:rsidP="00000000" w:rsidRDefault="00000000" w:rsidRPr="00000000" w14:paraId="00000018">
      <w:pPr>
        <w:spacing w:after="0" w:before="0" w:lin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19">
      <w:pPr>
        <w:spacing w:after="0" w:before="0" w:line="240" w:lineRule="auto"/>
        <w:rPr>
          <w:sz w:val="28"/>
          <w:szCs w:val="28"/>
        </w:rPr>
      </w:pPr>
      <w:r w:rsidDel="00000000" w:rsidR="00000000" w:rsidRPr="00000000">
        <w:rPr>
          <w:sz w:val="28"/>
          <w:szCs w:val="28"/>
          <w:rtl w:val="0"/>
        </w:rPr>
        <w:t xml:space="preserve">6200 Park Ave, Suite 100</w:t>
      </w:r>
    </w:p>
    <w:p w:rsidR="00000000" w:rsidDel="00000000" w:rsidP="00000000" w:rsidRDefault="00000000" w:rsidRPr="00000000" w14:paraId="0000001A">
      <w:pPr>
        <w:spacing w:after="0" w:before="0" w:line="240" w:lineRule="auto"/>
        <w:rPr>
          <w:sz w:val="28"/>
          <w:szCs w:val="28"/>
        </w:rPr>
      </w:pPr>
      <w:r w:rsidDel="00000000" w:rsidR="00000000" w:rsidRPr="00000000">
        <w:rPr>
          <w:sz w:val="28"/>
          <w:szCs w:val="28"/>
          <w:rtl w:val="0"/>
        </w:rPr>
        <w:t xml:space="preserve">Des Moines, Iowa 50321</w:t>
      </w:r>
    </w:p>
    <w:p w:rsidR="00000000" w:rsidDel="00000000" w:rsidP="00000000" w:rsidRDefault="00000000" w:rsidRPr="00000000" w14:paraId="0000001B">
      <w:pPr>
        <w:spacing w:after="0" w:before="0" w:line="240" w:lineRule="auto"/>
        <w:rPr>
          <w:sz w:val="28"/>
          <w:szCs w:val="28"/>
        </w:rPr>
      </w:pPr>
      <w:r w:rsidDel="00000000" w:rsidR="00000000" w:rsidRPr="00000000">
        <w:rPr>
          <w:sz w:val="28"/>
          <w:szCs w:val="28"/>
          <w:rtl w:val="0"/>
        </w:rPr>
        <w:t xml:space="preserve">FAX: (515) 242-5840</w:t>
      </w:r>
    </w:p>
    <w:p w:rsidR="00000000" w:rsidDel="00000000" w:rsidP="00000000" w:rsidRDefault="00000000" w:rsidRPr="00000000" w14:paraId="0000001C">
      <w:pPr>
        <w:spacing w:after="0" w:before="0" w:line="240" w:lineRule="auto"/>
        <w:rPr>
          <w:sz w:val="28"/>
          <w:szCs w:val="28"/>
        </w:rPr>
      </w:pPr>
      <w:r w:rsidDel="00000000" w:rsidR="00000000" w:rsidRPr="00000000">
        <w:rPr>
          <w:sz w:val="28"/>
          <w:szCs w:val="28"/>
          <w:rtl w:val="0"/>
        </w:rPr>
        <w:t xml:space="preserve">Email: icrc@iowa.gov</w:t>
      </w:r>
    </w:p>
    <w:p w:rsidR="00000000" w:rsidDel="00000000" w:rsidP="00000000" w:rsidRDefault="00000000" w:rsidRPr="00000000" w14:paraId="0000001D">
      <w:pPr>
        <w:rPr>
          <w:b w:val="1"/>
        </w:rPr>
      </w:pPr>
      <w:r w:rsidDel="00000000" w:rsidR="00000000" w:rsidRPr="00000000">
        <w:rPr>
          <w:rtl w:val="0"/>
        </w:rPr>
      </w:r>
    </w:p>
    <w:sectPr>
      <w:headerReference r:id="rId6"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